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F7" w:rsidRDefault="00F04AF7" w:rsidP="00F04AF7">
      <w:pPr>
        <w:spacing w:line="360" w:lineRule="auto"/>
        <w:rPr>
          <w:rFonts w:asciiTheme="majorBidi" w:hAnsiTheme="majorBidi" w:cstheme="majorBidi"/>
          <w:sz w:val="28"/>
          <w:szCs w:val="28"/>
        </w:rPr>
      </w:pPr>
      <w:r>
        <w:rPr>
          <w:rFonts w:asciiTheme="majorBidi" w:hAnsiTheme="majorBidi" w:cstheme="majorBidi" w:hint="cs"/>
          <w:sz w:val="28"/>
          <w:szCs w:val="28"/>
          <w:rtl/>
        </w:rPr>
        <w:t>كاربرد كلكتورهاي مختلف در غلظت فلوتاسيون (شناور) فلدسپار، ميكا و ماسه كوارتزي</w:t>
      </w:r>
    </w:p>
    <w:p w:rsidR="00F04AF7" w:rsidRDefault="00F04AF7" w:rsidP="00F04AF7">
      <w:pPr>
        <w:spacing w:line="360" w:lineRule="auto"/>
        <w:rPr>
          <w:rFonts w:asciiTheme="majorBidi" w:hAnsiTheme="majorBidi" w:cstheme="majorBidi" w:hint="cs"/>
          <w:sz w:val="28"/>
          <w:szCs w:val="28"/>
          <w:rtl/>
        </w:rPr>
      </w:pPr>
      <w:r>
        <w:rPr>
          <w:rFonts w:asciiTheme="majorBidi" w:hAnsiTheme="majorBidi" w:cstheme="majorBidi" w:hint="cs"/>
          <w:sz w:val="28"/>
          <w:szCs w:val="28"/>
          <w:rtl/>
        </w:rPr>
        <w:t xml:space="preserve">چکیده </w:t>
      </w:r>
    </w:p>
    <w:p w:rsidR="00F04AF7" w:rsidRDefault="00F04AF7" w:rsidP="00F04AF7">
      <w:pPr>
        <w:spacing w:line="360" w:lineRule="auto"/>
        <w:rPr>
          <w:rFonts w:asciiTheme="majorBidi" w:hAnsiTheme="majorBidi" w:cstheme="majorBidi" w:hint="cs"/>
          <w:sz w:val="28"/>
          <w:szCs w:val="28"/>
          <w:rtl/>
        </w:rPr>
      </w:pPr>
      <w:r>
        <w:rPr>
          <w:rFonts w:asciiTheme="majorBidi" w:hAnsiTheme="majorBidi" w:cstheme="majorBidi" w:hint="cs"/>
          <w:sz w:val="28"/>
          <w:szCs w:val="28"/>
          <w:rtl/>
        </w:rPr>
        <w:t>كاربرد بلقوه كلكتورهاي كاتيون مختلف در غلظت فلوتاسيون (شناور) ميكا ، فلدسپار و ماسه كوارتزي بررسي شده است. مواد خام (بوجانوواك</w:t>
      </w:r>
      <w:r>
        <w:rPr>
          <w:rStyle w:val="FootnoteReference"/>
          <w:rFonts w:asciiTheme="majorBidi" w:hAnsiTheme="majorBidi" w:cstheme="majorBidi"/>
          <w:sz w:val="28"/>
          <w:szCs w:val="28"/>
          <w:rtl/>
        </w:rPr>
        <w:footnoteReference w:id="2"/>
      </w:r>
      <w:r>
        <w:rPr>
          <w:rFonts w:asciiTheme="majorBidi" w:hAnsiTheme="majorBidi" w:cstheme="majorBidi" w:hint="cs"/>
          <w:sz w:val="28"/>
          <w:szCs w:val="28"/>
          <w:rtl/>
        </w:rPr>
        <w:t xml:space="preserve"> و يوب</w:t>
      </w:r>
      <w:r>
        <w:rPr>
          <w:rStyle w:val="FootnoteReference"/>
          <w:rFonts w:asciiTheme="majorBidi" w:hAnsiTheme="majorBidi" w:cstheme="majorBidi"/>
          <w:sz w:val="28"/>
          <w:szCs w:val="28"/>
          <w:rtl/>
        </w:rPr>
        <w:footnoteReference w:id="3"/>
      </w:r>
      <w:r>
        <w:rPr>
          <w:rFonts w:asciiTheme="majorBidi" w:hAnsiTheme="majorBidi" w:cstheme="majorBidi" w:hint="cs"/>
          <w:sz w:val="28"/>
          <w:szCs w:val="28"/>
          <w:rtl/>
        </w:rPr>
        <w:t>) از دو محل در صربستان مورد استفاده قرار گرفته اند.</w:t>
      </w:r>
    </w:p>
    <w:p w:rsidR="00F04AF7" w:rsidRDefault="00F04AF7" w:rsidP="00F04AF7">
      <w:pPr>
        <w:spacing w:line="360" w:lineRule="auto"/>
        <w:rPr>
          <w:rFonts w:asciiTheme="majorBidi" w:hAnsiTheme="majorBidi" w:cstheme="majorBidi" w:hint="cs"/>
          <w:sz w:val="28"/>
          <w:szCs w:val="28"/>
          <w:rtl/>
        </w:rPr>
      </w:pPr>
      <w:r>
        <w:rPr>
          <w:rFonts w:asciiTheme="majorBidi" w:hAnsiTheme="majorBidi" w:cstheme="majorBidi" w:hint="cs"/>
          <w:sz w:val="28"/>
          <w:szCs w:val="28"/>
          <w:rtl/>
        </w:rPr>
        <w:t>نتايج نشان داد كه براي فلوتاسيون فلدسپارها ، عملكرد آاِرو3030سي  بهتر از فلوتيگام‌دَت</w:t>
      </w:r>
      <w:r>
        <w:rPr>
          <w:rStyle w:val="FootnoteReference"/>
          <w:rFonts w:asciiTheme="majorBidi" w:hAnsiTheme="majorBidi" w:cstheme="majorBidi"/>
          <w:sz w:val="28"/>
          <w:szCs w:val="28"/>
          <w:rtl/>
        </w:rPr>
        <w:footnoteReference w:id="4"/>
      </w:r>
      <w:r>
        <w:rPr>
          <w:rFonts w:asciiTheme="majorBidi" w:hAnsiTheme="majorBidi" w:cstheme="majorBidi" w:hint="cs"/>
          <w:sz w:val="28"/>
          <w:szCs w:val="28"/>
          <w:rtl/>
        </w:rPr>
        <w:t xml:space="preserve"> است. آاِرو3030سي</w:t>
      </w:r>
      <w:r>
        <w:rPr>
          <w:rStyle w:val="FootnoteReference"/>
          <w:rFonts w:asciiTheme="majorBidi" w:hAnsiTheme="majorBidi" w:cstheme="majorBidi"/>
          <w:sz w:val="28"/>
          <w:szCs w:val="28"/>
          <w:rtl/>
        </w:rPr>
        <w:footnoteReference w:id="5"/>
      </w:r>
      <w:r>
        <w:rPr>
          <w:rFonts w:asciiTheme="majorBidi" w:hAnsiTheme="majorBidi" w:cstheme="majorBidi" w:hint="cs"/>
          <w:sz w:val="28"/>
          <w:szCs w:val="28"/>
          <w:rtl/>
        </w:rPr>
        <w:t xml:space="preserve">  بر گزینشی تر بوده ، و با کاربرد آن، بازيابي جرمی بیشتری از فلدسپار بدست آورده شد . مشخصا، بازيابي جرمي فلدسپار موقعي كه آاِرو3030سي اعمال شد 19.5% بود و موقعي كه فلوتيگام‌دَت به كار برده شد  7.58% بود. به هر حال، تركيب شيميايي غلظت های فلدسپار به طور قابل توجهي متفاوت نبوده و مهم نبود كدام يك از اين واکنشگرهای شيميايي به كار برده می شود .</w:t>
      </w:r>
    </w:p>
    <w:p w:rsidR="00F04AF7" w:rsidRDefault="00F04AF7" w:rsidP="00F04AF7">
      <w:pPr>
        <w:spacing w:line="360" w:lineRule="auto"/>
        <w:rPr>
          <w:rFonts w:asciiTheme="majorBidi" w:hAnsiTheme="majorBidi" w:cstheme="majorBidi" w:hint="cs"/>
          <w:sz w:val="28"/>
          <w:szCs w:val="28"/>
          <w:rtl/>
        </w:rPr>
      </w:pPr>
      <w:r>
        <w:rPr>
          <w:rFonts w:asciiTheme="majorBidi" w:hAnsiTheme="majorBidi" w:cstheme="majorBidi" w:hint="cs"/>
          <w:sz w:val="28"/>
          <w:szCs w:val="28"/>
          <w:rtl/>
        </w:rPr>
        <w:t>براي فلوتاسيون ناخالصي‌ها از ماسه كوارتزي ، آاِرو3030سي  نسبت به تركيب آاِرو825</w:t>
      </w:r>
      <w:r>
        <w:rPr>
          <w:rStyle w:val="FootnoteReference"/>
          <w:rFonts w:asciiTheme="majorBidi" w:hAnsiTheme="majorBidi" w:cstheme="majorBidi"/>
          <w:sz w:val="28"/>
          <w:szCs w:val="28"/>
          <w:rtl/>
        </w:rPr>
        <w:footnoteReference w:id="6"/>
      </w:r>
      <w:r>
        <w:rPr>
          <w:rFonts w:asciiTheme="majorBidi" w:hAnsiTheme="majorBidi" w:cstheme="majorBidi" w:hint="cs"/>
          <w:sz w:val="28"/>
          <w:szCs w:val="28"/>
          <w:rtl/>
        </w:rPr>
        <w:t xml:space="preserve">  و آرمارك‌سي</w:t>
      </w:r>
      <w:r>
        <w:rPr>
          <w:rStyle w:val="FootnoteReference"/>
          <w:rFonts w:asciiTheme="majorBidi" w:hAnsiTheme="majorBidi" w:cstheme="majorBidi"/>
          <w:sz w:val="28"/>
          <w:szCs w:val="28"/>
          <w:rtl/>
        </w:rPr>
        <w:footnoteReference w:id="7"/>
      </w:r>
      <w:r>
        <w:rPr>
          <w:rFonts w:asciiTheme="majorBidi" w:hAnsiTheme="majorBidi" w:cstheme="majorBidi" w:hint="cs"/>
          <w:sz w:val="28"/>
          <w:szCs w:val="28"/>
          <w:rtl/>
        </w:rPr>
        <w:t xml:space="preserve">  بهتر بود. موقعي كه آاِرو3030سي  به كار برده شد، كيفيت عالي ‌تري از كنسانتره ماسه كوارتزي نسبت به زمانی كه تركيبي از اين كلكتورها اعمال شده بودند، بدست آمد. بازيابي جرمي ماسه كوارتزي تقريباً يكسان بود : 64.47% موقعي كه آاِرو3030سي  به كار برده شد و 61.72% موقعي كه تركيب آاِرو825  و آرمارك‌سي  به كار برده شد.</w:t>
      </w:r>
    </w:p>
    <w:p w:rsidR="00F04AF7" w:rsidRDefault="00F04AF7" w:rsidP="00F04AF7">
      <w:pPr>
        <w:bidi w:val="0"/>
        <w:jc w:val="right"/>
        <w:rPr>
          <w:rFonts w:ascii="Times New Roman" w:hAnsi="Times New Roman" w:cs="Times New Roman" w:hint="cs"/>
          <w:sz w:val="24"/>
          <w:szCs w:val="24"/>
          <w:rtl/>
        </w:rPr>
      </w:pPr>
      <w:r>
        <w:rPr>
          <w:rFonts w:asciiTheme="majorBidi" w:hAnsiTheme="majorBidi" w:cstheme="majorBidi"/>
          <w:sz w:val="28"/>
          <w:szCs w:val="28"/>
          <w:rtl/>
        </w:rPr>
        <w:t>کلیدواژه: واکنش گرهای فلوتاسيون ، کلکتورهای فلوتاسيون، مواد معدنی صنعتی، پردازش معدنی</w:t>
      </w:r>
      <w:r>
        <w:t xml:space="preserve"> </w:t>
      </w:r>
    </w:p>
    <w:p w:rsidR="00E120F7" w:rsidRDefault="00E120F7">
      <w:pPr>
        <w:rPr>
          <w:rFonts w:hint="cs"/>
        </w:rPr>
      </w:pPr>
    </w:p>
    <w:sectPr w:rsidR="00E120F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0F7" w:rsidRDefault="00E120F7" w:rsidP="00F04AF7">
      <w:pPr>
        <w:spacing w:after="0" w:line="240" w:lineRule="auto"/>
      </w:pPr>
      <w:r>
        <w:separator/>
      </w:r>
    </w:p>
  </w:endnote>
  <w:endnote w:type="continuationSeparator" w:id="1">
    <w:p w:rsidR="00E120F7" w:rsidRDefault="00E120F7" w:rsidP="00F04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0F7" w:rsidRDefault="00E120F7" w:rsidP="00F04AF7">
      <w:pPr>
        <w:spacing w:after="0" w:line="240" w:lineRule="auto"/>
      </w:pPr>
      <w:r>
        <w:separator/>
      </w:r>
    </w:p>
  </w:footnote>
  <w:footnote w:type="continuationSeparator" w:id="1">
    <w:p w:rsidR="00E120F7" w:rsidRDefault="00E120F7" w:rsidP="00F04AF7">
      <w:pPr>
        <w:spacing w:after="0" w:line="240" w:lineRule="auto"/>
      </w:pPr>
      <w:r>
        <w:continuationSeparator/>
      </w:r>
    </w:p>
  </w:footnote>
  <w:footnote w:id="2">
    <w:p w:rsidR="00F04AF7" w:rsidRDefault="00F04AF7" w:rsidP="00F04AF7">
      <w:pPr>
        <w:pStyle w:val="FootnoteText"/>
        <w:bidi w:val="0"/>
        <w:rPr>
          <w:lang w:bidi="fa-IR"/>
        </w:rPr>
      </w:pPr>
      <w:r>
        <w:rPr>
          <w:rStyle w:val="FootnoteReference"/>
        </w:rPr>
        <w:footnoteRef/>
      </w:r>
      <w:r>
        <w:rPr>
          <w:rtl/>
        </w:rPr>
        <w:t xml:space="preserve"> </w:t>
      </w:r>
      <w:r>
        <w:t>Bujanovac</w:t>
      </w:r>
    </w:p>
  </w:footnote>
  <w:footnote w:id="3">
    <w:p w:rsidR="00F04AF7" w:rsidRDefault="00F04AF7" w:rsidP="00F04AF7">
      <w:pPr>
        <w:pStyle w:val="FootnoteText"/>
        <w:bidi w:val="0"/>
        <w:rPr>
          <w:lang w:bidi="fa-IR"/>
        </w:rPr>
      </w:pPr>
      <w:r>
        <w:rPr>
          <w:rStyle w:val="FootnoteReference"/>
        </w:rPr>
        <w:footnoteRef/>
      </w:r>
      <w:r>
        <w:rPr>
          <w:rtl/>
        </w:rPr>
        <w:t xml:space="preserve"> </w:t>
      </w:r>
      <w:r>
        <w:t>Ub</w:t>
      </w:r>
    </w:p>
  </w:footnote>
  <w:footnote w:id="4">
    <w:p w:rsidR="00F04AF7" w:rsidRDefault="00F04AF7" w:rsidP="00F04AF7">
      <w:pPr>
        <w:pStyle w:val="FootnoteText"/>
        <w:bidi w:val="0"/>
        <w:rPr>
          <w:lang w:bidi="fa-IR"/>
        </w:rPr>
      </w:pPr>
      <w:r>
        <w:rPr>
          <w:rStyle w:val="FootnoteReference"/>
        </w:rPr>
        <w:footnoteRef/>
      </w:r>
      <w:r>
        <w:rPr>
          <w:rtl/>
        </w:rPr>
        <w:t xml:space="preserve"> </w:t>
      </w:r>
      <w:r>
        <w:t>Flotigam DAT</w:t>
      </w:r>
    </w:p>
  </w:footnote>
  <w:footnote w:id="5">
    <w:p w:rsidR="00F04AF7" w:rsidRDefault="00F04AF7" w:rsidP="00F04AF7">
      <w:pPr>
        <w:pStyle w:val="FootnoteText"/>
        <w:bidi w:val="0"/>
        <w:rPr>
          <w:lang w:bidi="fa-IR"/>
        </w:rPr>
      </w:pPr>
      <w:r>
        <w:rPr>
          <w:rStyle w:val="FootnoteReference"/>
        </w:rPr>
        <w:footnoteRef/>
      </w:r>
      <w:r>
        <w:rPr>
          <w:rtl/>
        </w:rPr>
        <w:t xml:space="preserve"> </w:t>
      </w:r>
      <w:r>
        <w:t>Aero 3030C</w:t>
      </w:r>
    </w:p>
  </w:footnote>
  <w:footnote w:id="6">
    <w:p w:rsidR="00F04AF7" w:rsidRDefault="00F04AF7" w:rsidP="00F04AF7">
      <w:pPr>
        <w:pStyle w:val="FootnoteText"/>
        <w:bidi w:val="0"/>
        <w:rPr>
          <w:lang w:bidi="fa-IR"/>
        </w:rPr>
      </w:pPr>
      <w:r>
        <w:rPr>
          <w:rStyle w:val="FootnoteReference"/>
        </w:rPr>
        <w:footnoteRef/>
      </w:r>
      <w:r>
        <w:rPr>
          <w:rtl/>
        </w:rPr>
        <w:t xml:space="preserve"> </w:t>
      </w:r>
      <w:r>
        <w:t>Aero 825</w:t>
      </w:r>
    </w:p>
  </w:footnote>
  <w:footnote w:id="7">
    <w:p w:rsidR="00F04AF7" w:rsidRDefault="00F04AF7" w:rsidP="00F04AF7">
      <w:pPr>
        <w:pStyle w:val="FootnoteText"/>
        <w:bidi w:val="0"/>
        <w:rPr>
          <w:lang w:bidi="fa-IR"/>
        </w:rPr>
      </w:pPr>
      <w:r>
        <w:rPr>
          <w:rStyle w:val="FootnoteReference"/>
        </w:rPr>
        <w:footnoteRef/>
      </w:r>
      <w:r>
        <w:rPr>
          <w:rtl/>
        </w:rPr>
        <w:t xml:space="preserve"> </w:t>
      </w:r>
      <w:r>
        <w:t>Armak 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04AF7"/>
    <w:rsid w:val="00E120F7"/>
    <w:rsid w:val="00F04AF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04AF7"/>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F04AF7"/>
    <w:rPr>
      <w:rFonts w:ascii="Times New Roman" w:eastAsia="Times New Roman" w:hAnsi="Times New Roman" w:cs="Times New Roman"/>
      <w:sz w:val="20"/>
      <w:szCs w:val="20"/>
      <w:lang w:bidi="ar-SA"/>
    </w:rPr>
  </w:style>
  <w:style w:type="character" w:styleId="FootnoteReference">
    <w:name w:val="footnote reference"/>
    <w:basedOn w:val="DefaultParagraphFont"/>
    <w:semiHidden/>
    <w:unhideWhenUsed/>
    <w:rsid w:val="00F04AF7"/>
    <w:rPr>
      <w:vertAlign w:val="superscript"/>
    </w:rPr>
  </w:style>
</w:styles>
</file>

<file path=word/webSettings.xml><?xml version="1.0" encoding="utf-8"?>
<w:webSettings xmlns:r="http://schemas.openxmlformats.org/officeDocument/2006/relationships" xmlns:w="http://schemas.openxmlformats.org/wordprocessingml/2006/main">
  <w:divs>
    <w:div w:id="156371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2013-06-22T10:30:00Z</dcterms:created>
  <dcterms:modified xsi:type="dcterms:W3CDTF">2013-06-22T10:31:00Z</dcterms:modified>
</cp:coreProperties>
</file>