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ویژگی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های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عملکرد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در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مقیاس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حرکتی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پروتکل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تزریق سالین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هیپرتونیک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در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درمان هیپوناترمی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حاد</w:t>
      </w: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عصبی</w:t>
      </w:r>
    </w:p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چکیده</w:t>
      </w:r>
    </w:p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دورنما و هدف تزریق سالین هیپرتونیک (3% </w:t>
      </w:r>
      <w:r>
        <w:rPr>
          <w:rFonts w:asciiTheme="majorBidi" w:hAnsiTheme="majorBidi" w:cstheme="majorBidi"/>
          <w:sz w:val="28"/>
          <w:szCs w:val="28"/>
        </w:rPr>
        <w:t>NaCl</w:t>
      </w:r>
      <w:r>
        <w:rPr>
          <w:rFonts w:asciiTheme="majorBidi" w:hAnsiTheme="majorBidi" w:cstheme="majorBidi"/>
          <w:sz w:val="28"/>
          <w:szCs w:val="28"/>
          <w:rtl/>
        </w:rPr>
        <w:t xml:space="preserve">) می تواند برای درمان هیپوناترمی حاد عصبی در بیماران بدحال مبتلا به اختلالات عصبی و مغز و اعصاب از جمله خونریزی ساب آراکنوئید مورد استفاده قرار گیرد. برای رسیدن به محدوده سدیم هدف، تنظیماتی در میزان تزریق سالین هیپرتونیک در درمان </w:t>
      </w:r>
      <w:r>
        <w:rPr>
          <w:rFonts w:asciiTheme="majorBidi" w:hAnsiTheme="majorBidi" w:cstheme="majorBidi"/>
          <w:sz w:val="28"/>
          <w:szCs w:val="28"/>
        </w:rPr>
        <w:t>ANH</w:t>
      </w:r>
      <w:r>
        <w:rPr>
          <w:rFonts w:asciiTheme="majorBidi" w:hAnsiTheme="majorBidi" w:cstheme="majorBidi"/>
          <w:sz w:val="28"/>
          <w:szCs w:val="28"/>
          <w:rtl/>
        </w:rPr>
        <w:t xml:space="preserve"> مورد نیاز است و معمولا به صورت تجربی بدست می آیند. تا به امروز، برای تعیین مطمئن تنظیمات رسیدن به غلظت سرم سدیم پایدار نرمال و یا اینکه هر چند وقت یکبار هیپرناترمی درمانزاد در طول دوره درمان باسالین هیپرتونیک رخ می دهد هیچ داده ای در دسترس نیست. </w:t>
      </w:r>
    </w:p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روش. در این بحث، روشی استاندارد  در مقیاس حرکت پروتکل سالین هیپرتونیک برای به حداقل رساندن تغییرپذیری بیمار به بیمار از تجویز سالین هیپرتونیک، و برای دستیابی به مقدار امن اصلاح سدیم و نگهداری پایدار از غلظت سرم سدیم  با جهش مازاد حداقل وضع شده و تجزیه و تحلیل بازنگرانه ای را از ویژگی های عملکرد استاندارد  پروتکل سالین هیپرتونیک در طی دوره یک ساله، در 49 بیمار ارائه می گردد.</w:t>
      </w:r>
    </w:p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نمایش نتایج: نرخ متوسط  اصلاح اولیه سدیم، 0.44 ± 0.36 (اکی والان / </w:t>
      </w:r>
      <w:r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  <w:rtl/>
        </w:rPr>
        <w:t xml:space="preserve">) / ساعت می باشد. در طول فاز نگهداری تزریق، 84.3 ± 17.8 درصد از زمان  در محدوده هدف صرف شده است. (سدیم 136-145 میلی اکی والان)، </w:t>
      </w:r>
      <w:r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  <w:rtl/>
        </w:rPr>
        <w:t xml:space="preserve">، </w:t>
      </w:r>
      <w:r>
        <w:rPr>
          <w:rFonts w:asciiTheme="majorBidi" w:hAnsiTheme="majorBidi" w:cstheme="majorBidi"/>
          <w:sz w:val="28"/>
          <w:szCs w:val="28"/>
        </w:rPr>
        <w:t>14.9 ± 18.1</w:t>
      </w:r>
      <w:r>
        <w:rPr>
          <w:rFonts w:asciiTheme="majorBidi" w:hAnsiTheme="majorBidi" w:cstheme="majorBidi"/>
          <w:sz w:val="28"/>
          <w:szCs w:val="28"/>
          <w:rtl/>
        </w:rPr>
        <w:t xml:space="preserve">٪ از زمان  در  فرارفت خفیف صرف شده است (سدیم 130-135 میلی اکی والان / </w:t>
      </w:r>
      <w:r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  <w:rtl/>
        </w:rPr>
        <w:t xml:space="preserve">)، و 0.7 ± 3.1 درصد از زمان در جهش مازاد (اورشوت) (سدیم&gt; 145 میلی اکی والان / </w:t>
      </w:r>
      <w:r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  <w:rtl/>
        </w:rPr>
        <w:t>) صرف شد.  در تزریق سالین هیپرتونیک هیچ عوارض جانبی مشاهده نشد.</w:t>
      </w:r>
    </w:p>
    <w:p w:rsidR="00462B4A" w:rsidRDefault="00462B4A" w:rsidP="00462B4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نتیجه گیری. مقیاس حرکت پروتکل سالین هیپرتونیک برای درمان </w:t>
      </w:r>
      <w:r>
        <w:rPr>
          <w:rFonts w:asciiTheme="majorBidi" w:hAnsiTheme="majorBidi" w:cstheme="majorBidi"/>
          <w:sz w:val="28"/>
          <w:szCs w:val="28"/>
        </w:rPr>
        <w:t xml:space="preserve"> ANH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می تواند به طور قابل اطمینانی مورد استفاده قرار گرفته و به غلظت سدیم طبیعی به شیوه ای مطمئن و با حداقل جهش مازاد حداقل، رسید</w:t>
      </w:r>
    </w:p>
    <w:p w:rsidR="00144BBD" w:rsidRDefault="00462B4A" w:rsidP="00462B4A">
      <w:pPr>
        <w:rPr>
          <w:rFonts w:hint="cs"/>
        </w:rPr>
      </w:pPr>
      <w:r>
        <w:rPr>
          <w:rFonts w:asciiTheme="majorBidi" w:hAnsiTheme="majorBidi" w:cstheme="majorBidi"/>
          <w:sz w:val="28"/>
          <w:szCs w:val="28"/>
          <w:rtl/>
        </w:rPr>
        <w:t>کلیدواژه: هیپوناترمی، خونریزی زیر عنکبوتیه، خونریزی داخل مغزی، هدر رفتن نمک مغزی، هیپرتونیک سالین</w:t>
      </w:r>
    </w:p>
    <w:sectPr w:rsidR="0014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62B4A"/>
    <w:rsid w:val="00144BBD"/>
    <w:rsid w:val="0046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2013-06-21T07:41:00Z</dcterms:created>
  <dcterms:modified xsi:type="dcterms:W3CDTF">2013-06-21T07:41:00Z</dcterms:modified>
</cp:coreProperties>
</file>